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73692" w14:textId="77777777" w:rsidR="00751F5A" w:rsidRDefault="00E41104">
      <w:pPr>
        <w:spacing w:line="0" w:lineRule="atLeast"/>
        <w:contextualSpacing/>
        <w:jc w:val="center"/>
        <w:rPr>
          <w:b/>
          <w:sz w:val="44"/>
          <w:szCs w:val="44"/>
        </w:rPr>
      </w:pPr>
      <w:bookmarkStart w:id="0" w:name="_Hlk173962020"/>
      <w:r>
        <w:rPr>
          <w:rFonts w:hint="eastAsia"/>
          <w:b/>
          <w:sz w:val="44"/>
          <w:szCs w:val="44"/>
        </w:rPr>
        <w:t>大连海事大学</w:t>
      </w:r>
      <w:r>
        <w:rPr>
          <w:b/>
          <w:sz w:val="44"/>
          <w:szCs w:val="44"/>
        </w:rPr>
        <w:t>硕士研究生入学考试</w:t>
      </w:r>
      <w:r>
        <w:rPr>
          <w:rFonts w:hint="eastAsia"/>
          <w:b/>
          <w:sz w:val="44"/>
          <w:szCs w:val="44"/>
        </w:rPr>
        <w:t>大纲</w:t>
      </w:r>
    </w:p>
    <w:p w14:paraId="333D857F" w14:textId="77777777" w:rsidR="00751F5A" w:rsidRDefault="00751F5A">
      <w:pPr>
        <w:spacing w:line="300" w:lineRule="auto"/>
        <w:jc w:val="center"/>
        <w:rPr>
          <w:rFonts w:ascii="黑体" w:eastAsia="黑体" w:hAnsi="黑体"/>
          <w:bCs/>
          <w:sz w:val="32"/>
          <w:szCs w:val="32"/>
        </w:rPr>
      </w:pPr>
    </w:p>
    <w:p w14:paraId="553BE541" w14:textId="77777777" w:rsidR="00751F5A" w:rsidRDefault="00E41104">
      <w:pPr>
        <w:spacing w:line="300" w:lineRule="auto"/>
      </w:pPr>
      <w:r>
        <w:rPr>
          <w:rFonts w:ascii="黑体" w:eastAsia="黑体" w:hAnsi="黑体" w:hint="eastAsia"/>
          <w:b/>
        </w:rPr>
        <w:t>考试科目</w:t>
      </w:r>
      <w:r>
        <w:rPr>
          <w:rFonts w:hint="eastAsia"/>
          <w:b/>
        </w:rPr>
        <w:t>：</w:t>
      </w:r>
      <w:r>
        <w:rPr>
          <w:rFonts w:hint="eastAsia"/>
        </w:rPr>
        <w:t>会计综合</w:t>
      </w:r>
      <w:r>
        <w:rPr>
          <w:rFonts w:hint="eastAsia"/>
        </w:rPr>
        <w:t xml:space="preserve"> </w:t>
      </w:r>
      <w:r>
        <w:t xml:space="preserve">       </w:t>
      </w:r>
    </w:p>
    <w:p w14:paraId="7F0506BB" w14:textId="3A73BD72" w:rsidR="00751F5A" w:rsidRDefault="00E41104">
      <w:pPr>
        <w:spacing w:line="360" w:lineRule="auto"/>
        <w:rPr>
          <w:rFonts w:asciiTheme="minorEastAsia" w:hAnsiTheme="minorEastAsia"/>
        </w:rPr>
      </w:pPr>
      <w:r>
        <w:rPr>
          <w:rFonts w:ascii="黑体" w:eastAsia="黑体" w:hAnsi="黑体" w:hint="eastAsia"/>
          <w:b/>
        </w:rPr>
        <w:t>题型范围</w:t>
      </w:r>
      <w:r>
        <w:rPr>
          <w:rFonts w:ascii="黑体" w:eastAsia="黑体" w:hAnsi="黑体" w:hint="eastAsia"/>
          <w:b/>
        </w:rPr>
        <w:t>：</w:t>
      </w:r>
      <w:r>
        <w:rPr>
          <w:rFonts w:asciiTheme="minorEastAsia" w:hAnsiTheme="minorEastAsia" w:hint="eastAsia"/>
        </w:rPr>
        <w:t>单选题、多选题、判断题、名词解释、业务题、综合题</w:t>
      </w:r>
      <w:r>
        <w:rPr>
          <w:rFonts w:asciiTheme="minorEastAsia" w:hAnsiTheme="minorEastAsia"/>
        </w:rPr>
        <w:t xml:space="preserve">      </w:t>
      </w:r>
    </w:p>
    <w:p w14:paraId="7A87B119" w14:textId="77777777" w:rsidR="00751F5A" w:rsidRDefault="00E41104">
      <w:pPr>
        <w:spacing w:line="300" w:lineRule="auto"/>
      </w:pPr>
      <w:r>
        <w:rPr>
          <w:rFonts w:ascii="黑体" w:eastAsia="黑体" w:hAnsi="黑体" w:hint="eastAsia"/>
          <w:b/>
        </w:rPr>
        <w:t>考试范围</w:t>
      </w:r>
      <w:r>
        <w:rPr>
          <w:rFonts w:hint="eastAsia"/>
          <w:b/>
        </w:rPr>
        <w:t>：</w:t>
      </w:r>
      <w:r>
        <w:rPr>
          <w:rFonts w:hint="eastAsia"/>
        </w:rPr>
        <w:t>财务会计、财务管理、成本与管理会计</w:t>
      </w:r>
    </w:p>
    <w:p w14:paraId="66246DD4" w14:textId="77777777" w:rsidR="00751F5A" w:rsidRDefault="00751F5A">
      <w:pPr>
        <w:spacing w:line="300" w:lineRule="auto"/>
      </w:pPr>
      <w:bookmarkStart w:id="1" w:name="_GoBack"/>
      <w:bookmarkEnd w:id="0"/>
      <w:bookmarkEnd w:id="1"/>
    </w:p>
    <w:p w14:paraId="1E964A70" w14:textId="77777777" w:rsidR="00751F5A" w:rsidRDefault="00E41104">
      <w:pPr>
        <w:spacing w:line="300" w:lineRule="auto"/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第一部分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 xml:space="preserve"> 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财务会计（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40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分）</w:t>
      </w:r>
    </w:p>
    <w:p w14:paraId="06B27E29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第一章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总论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089EABB6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4A2E1D2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财务报告目标、会计基本假设与会计基础、会计信息质量要求、会计要素及其确认与计量、财务报告</w:t>
      </w:r>
    </w:p>
    <w:p w14:paraId="6621A900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345D4F8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会计基本假设与会计基础、会计信息质量要求、会计要素及其确认与计量、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财务会计报告的组成</w:t>
      </w:r>
    </w:p>
    <w:p w14:paraId="7AC192E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b/>
          <w:bCs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会计计量属性、财务会计报告的目标与内容</w:t>
      </w:r>
    </w:p>
    <w:p w14:paraId="6F2EDC4C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第二章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金融资产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73C64B03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1938B897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金融资产的定义和分类、以摊</w:t>
      </w:r>
      <w:proofErr w:type="gramStart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余成本</w:t>
      </w:r>
      <w:proofErr w:type="gramEnd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计量的金融资产、以公允价值计量且其变动计入其他综合收益的金融资产、以公允价值计量且其变动计入当期损益。</w:t>
      </w:r>
    </w:p>
    <w:p w14:paraId="300E2E2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2B0C8773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金融资产的分类、各类金融资产（以摊</w:t>
      </w:r>
      <w:proofErr w:type="gramStart"/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余成本</w:t>
      </w:r>
      <w:proofErr w:type="gramEnd"/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计量的金融资产、以公允价值计量且其变动计入其他综合收益的金融资产、以公允价值计量且其变动计入当期损益）的账务处理</w:t>
      </w:r>
    </w:p>
    <w:p w14:paraId="1AB509F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上述金融资产在财务报告中的不同表现形式</w:t>
      </w:r>
    </w:p>
    <w:p w14:paraId="2E4D062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第三章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存货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5BF0E3F2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4365B173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存货的确认和初始计量、发出存货的计量、期末存货的计量、存货的账务处理</w:t>
      </w:r>
    </w:p>
    <w:p w14:paraId="2F55704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7BC0418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自制与外购存货的确认和初始计量、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发出存货成本的计量、期末存货的计量</w:t>
      </w:r>
    </w:p>
    <w:p w14:paraId="199EE90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存货收、发、存的账务处理以及存货减值的账务处理</w:t>
      </w:r>
    </w:p>
    <w:p w14:paraId="005E9DA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lastRenderedPageBreak/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委托加工存货和周转材料的账务处理、存货清查的账务处理</w:t>
      </w:r>
    </w:p>
    <w:p w14:paraId="48D360B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不同存货计价方法的财务影响</w:t>
      </w:r>
    </w:p>
    <w:p w14:paraId="70324424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第四章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长期股权投资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536D0460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184DB4E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长期股权投资的初始计量、长期股权投资的后续计量</w:t>
      </w:r>
    </w:p>
    <w:p w14:paraId="782226E8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513B916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长期股权投资的确认和初始计量、成本法和权益法的账务处理原则</w:t>
      </w:r>
    </w:p>
    <w:p w14:paraId="7547329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长期股权投资的后续计量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</w:p>
    <w:p w14:paraId="476D31A2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第五章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固定资产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4315FF13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3DE752F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固定资产的确认和初始计量、后续计量、固定资产的处置</w:t>
      </w:r>
    </w:p>
    <w:p w14:paraId="6E66D07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7958D71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固定资产取得、减值、折旧的账务处理，以及固定资产折旧的不同计算方法</w:t>
      </w:r>
    </w:p>
    <w:p w14:paraId="6040C0C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固定资产计价方式及计提折旧的原则和范围、固定资产后续支出和处置的账务处理</w:t>
      </w:r>
    </w:p>
    <w:p w14:paraId="2F31A03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企业采用不同折旧方法的财务影响</w:t>
      </w:r>
    </w:p>
    <w:p w14:paraId="1DDD123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固定资产的性质和分类</w:t>
      </w:r>
    </w:p>
    <w:p w14:paraId="45116BF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第六章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无形资产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48682A0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5F21A1C4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无形资产的确认和初始计量、内部研究与开发支出的确认和计量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、无形资产的后续计量、无形资产的处置</w:t>
      </w:r>
    </w:p>
    <w:p w14:paraId="2847B7C4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6261B2B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无形资产取得与后续计量的账务处理</w:t>
      </w:r>
    </w:p>
    <w:p w14:paraId="59111DF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研究与开发支出的账务处理原则</w:t>
      </w:r>
    </w:p>
    <w:p w14:paraId="00B8967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无形资产的性质和分类</w:t>
      </w:r>
    </w:p>
    <w:p w14:paraId="4471B42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第七章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负债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59199409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45510E5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流动负债、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非流动负债</w:t>
      </w:r>
    </w:p>
    <w:p w14:paraId="519FD6C0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7BFE77F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短期借款、应付账款、应付票据、应交税费和应付职工薪酬的账务处理</w:t>
      </w:r>
    </w:p>
    <w:p w14:paraId="6C4D0E0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长期借款、应付债券的账务处理</w:t>
      </w:r>
    </w:p>
    <w:p w14:paraId="631F1D1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lastRenderedPageBreak/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借款费用、其他应付款的确认与计量</w:t>
      </w:r>
    </w:p>
    <w:p w14:paraId="3BAC0EB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负债的分类与计价</w:t>
      </w:r>
    </w:p>
    <w:p w14:paraId="52BE4D83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第八章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所有者权益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69B08729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343E114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实收资本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(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股本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)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、资本公积、其他综合收益、留存收益</w:t>
      </w:r>
    </w:p>
    <w:p w14:paraId="4C2A95E8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18C5C47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实收资本（股本）、其他综合收益的账务处理</w:t>
      </w:r>
    </w:p>
    <w:p w14:paraId="760DF0C0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资本公积和留存收益的账务处理</w:t>
      </w:r>
    </w:p>
    <w:p w14:paraId="0FD9DD74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所有者权益的特征与构成</w:t>
      </w:r>
    </w:p>
    <w:p w14:paraId="34116D9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第九章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收入、费用和利润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1BA68B35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5F37370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收入、费用、利润</w:t>
      </w:r>
    </w:p>
    <w:p w14:paraId="64482D3D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3FFC617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收入和费用的账务处理、利润的构成内容</w:t>
      </w:r>
    </w:p>
    <w:p w14:paraId="5034DA9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本年利润、所得税费用和利润分配的账务处理</w:t>
      </w:r>
    </w:p>
    <w:p w14:paraId="16B1C49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收入和费用的概念、特征及分类</w:t>
      </w:r>
    </w:p>
    <w:p w14:paraId="3CCECAFD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第十章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财务报告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644E1D5B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3C916E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财务报告概述、资产负债表、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利润表、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现金流量表、所有者权益变动表、附注</w:t>
      </w:r>
    </w:p>
    <w:p w14:paraId="74809CD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050EE1A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资产负债表、利润表、现金流量表、所有者权益变动表的基本内容</w:t>
      </w:r>
    </w:p>
    <w:p w14:paraId="26F3271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附注的基本内容</w:t>
      </w:r>
    </w:p>
    <w:p w14:paraId="5930A23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财务报告的含义、作用和编制方法</w:t>
      </w:r>
    </w:p>
    <w:p w14:paraId="39CCA6B2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第十一章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或有事项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7B23DEC4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A25F8D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或有事项概述、或有事项的确认和计量、或有事项的列报</w:t>
      </w:r>
    </w:p>
    <w:p w14:paraId="0DC74E42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3211F5C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或有事项的确认、计量和列报</w:t>
      </w:r>
    </w:p>
    <w:p w14:paraId="760E5E74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或有事项的概念</w:t>
      </w:r>
    </w:p>
    <w:p w14:paraId="204A8AD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第十二章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资产负债表日后事项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66BC455F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lastRenderedPageBreak/>
        <w:t>考试内容：</w:t>
      </w:r>
    </w:p>
    <w:p w14:paraId="5FBE385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资产负债表日后事项概述、调整事项的会计处理、非调整事项的会计处理</w:t>
      </w:r>
    </w:p>
    <w:p w14:paraId="1F84FC03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4BC4C9B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资产负债表日后事项的概念</w:t>
      </w:r>
    </w:p>
    <w:p w14:paraId="577B6E63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资产负债表日后调整事项及非调整事项的处理方法</w:t>
      </w:r>
    </w:p>
    <w:p w14:paraId="35469DF0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第十三章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会计政策、会计估计变更和差错更正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7125CF16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5286631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会计政策及其变更、会计估计及其变更、前期差错及其更正</w:t>
      </w:r>
    </w:p>
    <w:p w14:paraId="08948356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447F382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会计政策变更和会计估计变更的条件</w:t>
      </w:r>
    </w:p>
    <w:p w14:paraId="5F994B8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会计政策变更、会计估计变更和会计差错更正的种类及账务处理</w:t>
      </w:r>
    </w:p>
    <w:p w14:paraId="16F3C92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会计政策变更和会计估计变更的会计处理方法</w:t>
      </w:r>
    </w:p>
    <w:p w14:paraId="21786C61" w14:textId="77777777" w:rsidR="00751F5A" w:rsidRDefault="00751F5A">
      <w:pPr>
        <w:spacing w:line="300" w:lineRule="auto"/>
      </w:pPr>
    </w:p>
    <w:p w14:paraId="23E29A36" w14:textId="77777777" w:rsidR="00751F5A" w:rsidRDefault="00751F5A">
      <w:pPr>
        <w:spacing w:line="300" w:lineRule="auto"/>
      </w:pPr>
    </w:p>
    <w:p w14:paraId="4742BC58" w14:textId="77777777" w:rsidR="00751F5A" w:rsidRDefault="00751F5A">
      <w:pPr>
        <w:spacing w:line="300" w:lineRule="auto"/>
      </w:pPr>
    </w:p>
    <w:p w14:paraId="664054AF" w14:textId="77777777" w:rsidR="00751F5A" w:rsidRDefault="00751F5A">
      <w:pPr>
        <w:spacing w:line="300" w:lineRule="auto"/>
      </w:pPr>
    </w:p>
    <w:p w14:paraId="4CFD99CF" w14:textId="77777777" w:rsidR="00751F5A" w:rsidRDefault="00E41104">
      <w:pPr>
        <w:spacing w:line="300" w:lineRule="auto"/>
        <w:rPr>
          <w:rFonts w:ascii="Microsoft YaHei UI" w:eastAsia="Microsoft YaHei UI" w:hAnsi="Microsoft YaHei UI" w:cs="宋体"/>
          <w:b/>
          <w:bCs/>
          <w:spacing w:val="8"/>
          <w:kern w:val="0"/>
          <w:sz w:val="24"/>
          <w:szCs w:val="24"/>
        </w:rPr>
      </w:pP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第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二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部分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 xml:space="preserve"> 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财务管理（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3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0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分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）</w:t>
      </w:r>
    </w:p>
    <w:p w14:paraId="38028B0B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第一章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总论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549CED9A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354072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财务管理的概念、财务管理的⽬标、财务管理的环境</w:t>
      </w:r>
    </w:p>
    <w:p w14:paraId="69A37E0B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4027572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财务管理概念、内容</w:t>
      </w:r>
    </w:p>
    <w:p w14:paraId="4046F68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财务管理的目标、财务管理的环境</w:t>
      </w:r>
    </w:p>
    <w:p w14:paraId="7D6CECA3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财务关系及其协调</w:t>
      </w:r>
    </w:p>
    <w:p w14:paraId="56BF279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第二章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财务估值的基础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7E5FC2B8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3ABE036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货币时间价值、风险和收益、证券估值</w:t>
      </w:r>
    </w:p>
    <w:p w14:paraId="269487D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2B2D0B2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时间价值和风险价值的相关内容与计算方法</w:t>
      </w:r>
    </w:p>
    <w:p w14:paraId="7A11467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时间价值的本质及其应用</w:t>
      </w:r>
    </w:p>
    <w:p w14:paraId="03C8E34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lastRenderedPageBreak/>
        <w:t>熟悉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证券投资组合的风险及其测定</w:t>
      </w:r>
    </w:p>
    <w:p w14:paraId="4CC4D0EC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第三章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财务分析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358FC04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66D1509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偿债能力分析、营运能力分析、获利能力分析、发展能力分析、综合财务分析</w:t>
      </w:r>
    </w:p>
    <w:p w14:paraId="070EA6E7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582595C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财务报表分析的基本方法和基本指标体系、以及财务综合分析方法</w:t>
      </w:r>
    </w:p>
    <w:p w14:paraId="34F0C7E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分析和判断公司的偿债能力、营运能力、盈利能力、指出企业财务状况现存的问题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，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做出正确的评价结论</w:t>
      </w:r>
    </w:p>
    <w:p w14:paraId="1432522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财务报表分析的作用、分析程序及财务报表资料的局限性</w:t>
      </w:r>
    </w:p>
    <w:p w14:paraId="6987269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第四章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长期筹资决策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00E163ED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61C33D7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资本成本、资本结构、普通股筹资、长期负债筹资</w:t>
      </w:r>
    </w:p>
    <w:p w14:paraId="1A1A9558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08E00100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企业筹资的渠道与方式、以及各种筹资方式优缺点</w:t>
      </w:r>
    </w:p>
    <w:p w14:paraId="1493210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企业资金需要量预测的基本方法</w:t>
      </w:r>
    </w:p>
    <w:p w14:paraId="6B672D6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个别资本成本、综合资本成本的计算以及各种杠杆系数的计算</w:t>
      </w:r>
    </w:p>
    <w:p w14:paraId="7045F87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各种杠杆与企业风险的关系、资本结构的意义及基本决策方法</w:t>
      </w:r>
    </w:p>
    <w:p w14:paraId="475B1AF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企业筹资的基本原则、企业筹资的动机以及筹资的分类</w:t>
      </w:r>
    </w:p>
    <w:p w14:paraId="0D2584AB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第五章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投资决策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735F43EC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8BDB09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投资的概念、投资的现⾦流量分析、投资决策评价指标及其计算</w:t>
      </w:r>
    </w:p>
    <w:p w14:paraId="102C7470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147BAF87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项目投资的动态和静态财务评价指标的计算、以及这些指标在内部长期投资决策中的具体运用</w:t>
      </w:r>
    </w:p>
    <w:p w14:paraId="6809826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不同决策分析指标的优缺点以及对比分析</w:t>
      </w:r>
    </w:p>
    <w:p w14:paraId="4FDD1B70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Style w:val="a8"/>
          <w:rFonts w:ascii="Microsoft YaHei UI" w:eastAsia="Microsoft YaHei UI" w:hAnsi="Microsoft YaHei UI"/>
          <w:spacing w:val="8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投资的内涵、投资的目标、投资的分类</w:t>
      </w:r>
    </w:p>
    <w:p w14:paraId="707265FC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第六章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营运资金管理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6FBF6DA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1DDDA7B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短期资产管理、短期筹资管理</w:t>
      </w:r>
    </w:p>
    <w:p w14:paraId="5B77AC16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19119FF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lastRenderedPageBreak/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营运资金的概念、流动资产持有政策、最佳现金持有量的确定、存货储备的动因，存货成本的内容以及存货模型</w:t>
      </w:r>
    </w:p>
    <w:p w14:paraId="54325D4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现金的持有动机和现金的日常管理、流动负债的融资政策</w:t>
      </w:r>
    </w:p>
    <w:p w14:paraId="2B3186D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流动资产持有政策和流动负债融资政策的配合</w:t>
      </w:r>
    </w:p>
    <w:p w14:paraId="260EF7B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营运资金的特点及营运资金管理的要求</w:t>
      </w:r>
    </w:p>
    <w:p w14:paraId="2741185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应收账款的功能、应收账款日常管理、信用政策的制定</w:t>
      </w:r>
    </w:p>
    <w:p w14:paraId="0750AA8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短期借款的种类、基本程序、信用条件，以及短期借款的利息计算以及短期借款融资的评价；</w:t>
      </w:r>
    </w:p>
    <w:p w14:paraId="3CAB222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短期融资</w:t>
      </w:r>
      <w:proofErr w:type="gramStart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券</w:t>
      </w:r>
      <w:proofErr w:type="gramEnd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种类、发行程序、短期融资</w:t>
      </w:r>
      <w:proofErr w:type="gramStart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券</w:t>
      </w:r>
      <w:proofErr w:type="gramEnd"/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融资的评价</w:t>
      </w:r>
    </w:p>
    <w:p w14:paraId="0C4B4BC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第七章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股利分配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3FA7D270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440D9C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利润分配概述、股利支付的程序和方式、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 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股利理论与股利分配政策</w:t>
      </w:r>
    </w:p>
    <w:p w14:paraId="66F0290B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26638535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股利政策的类型、股利分配的形式和股利支付程序。</w:t>
      </w:r>
    </w:p>
    <w:p w14:paraId="52F9FF8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各种股利理论的要点与指导意义</w:t>
      </w:r>
    </w:p>
    <w:p w14:paraId="5BCD67A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分析判断影响股利政策的各种因素</w:t>
      </w:r>
    </w:p>
    <w:p w14:paraId="720EBB5F" w14:textId="77777777" w:rsidR="00751F5A" w:rsidRDefault="00751F5A">
      <w:pPr>
        <w:spacing w:line="300" w:lineRule="auto"/>
      </w:pPr>
    </w:p>
    <w:p w14:paraId="3A372AD1" w14:textId="77777777" w:rsidR="00751F5A" w:rsidRDefault="00751F5A">
      <w:pPr>
        <w:spacing w:line="300" w:lineRule="auto"/>
      </w:pPr>
    </w:p>
    <w:p w14:paraId="71725EC7" w14:textId="77777777" w:rsidR="00751F5A" w:rsidRDefault="00751F5A">
      <w:pPr>
        <w:spacing w:line="300" w:lineRule="auto"/>
      </w:pPr>
    </w:p>
    <w:p w14:paraId="4BAAE3BD" w14:textId="77777777" w:rsidR="00751F5A" w:rsidRDefault="00E41104">
      <w:pPr>
        <w:spacing w:line="300" w:lineRule="auto"/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第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三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部分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 xml:space="preserve"> 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成本与管理会计（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3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0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分）</w:t>
      </w:r>
    </w:p>
    <w:p w14:paraId="75EFB5C7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第一章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总论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081D979F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724E59D8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管理会计与财务会计的区别与联系、成本的概念和分类</w:t>
      </w:r>
    </w:p>
    <w:p w14:paraId="42D99E5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319B642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成本的概念与成本的分类</w:t>
      </w:r>
    </w:p>
    <w:p w14:paraId="315E77D3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Style w:val="a8"/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  <w:shd w:val="clear" w:color="auto" w:fill="FFFFFF"/>
        </w:rPr>
        <w:t>管理会计与财务会计的区别与联系</w:t>
      </w:r>
    </w:p>
    <w:p w14:paraId="1027A7F5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第二章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产品成本核算方法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 </w:t>
      </w:r>
    </w:p>
    <w:p w14:paraId="5C630E5C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5F2ACDA4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  <w:shd w:val="clear" w:color="auto" w:fill="FFFFFF"/>
        </w:rPr>
      </w:pPr>
      <w:r>
        <w:rPr>
          <w:rFonts w:ascii="Microsoft YaHei UI" w:eastAsia="Microsoft YaHei UI" w:hAnsi="Microsoft YaHei UI" w:cs="宋体" w:hint="eastAsia"/>
          <w:spacing w:val="8"/>
          <w:kern w:val="0"/>
          <w:szCs w:val="21"/>
          <w:shd w:val="clear" w:color="auto" w:fill="FFFFFF"/>
        </w:rPr>
        <w:t>产品成本计算、成本的归集与分配、产品成本计算的品种法、产品成本计算的分批法、产品成本计算的分步法、作业成本法</w:t>
      </w:r>
    </w:p>
    <w:p w14:paraId="081FEDD7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4BF3FBBD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  <w:shd w:val="clear" w:color="auto" w:fill="FFFFFF"/>
        </w:rPr>
        <w:t>掌握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成本的归集与分配、产品成本计算的品种法、产品成本计算的分批法、产品成本计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lastRenderedPageBreak/>
        <w:t>算的分步法</w:t>
      </w:r>
    </w:p>
    <w:p w14:paraId="6A0D690F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  <w:shd w:val="clear" w:color="auto" w:fill="FFFFFF"/>
        </w:rPr>
        <w:t>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作业成本法的概念、实施步骤与优缺点</w:t>
      </w:r>
    </w:p>
    <w:p w14:paraId="1F8457C4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Style w:val="a8"/>
          <w:rFonts w:ascii="Microsoft YaHei UI" w:eastAsia="Microsoft YaHei UI" w:hAnsi="Microsoft YaHei UI"/>
          <w:b w:val="0"/>
          <w:bCs w:val="0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  <w:shd w:val="clear" w:color="auto" w:fill="FFFFFF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成本计算的程序</w:t>
      </w:r>
    </w:p>
    <w:p w14:paraId="3327C296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第三章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成本分析与成本管理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 </w:t>
      </w:r>
    </w:p>
    <w:p w14:paraId="1760B9C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74C4C7FC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成本性态分析、变动成本法、成本管理方法</w:t>
      </w:r>
    </w:p>
    <w:p w14:paraId="3C38F892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70A4D3C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成本性态的概念、固定成本、变动成本和混合成本的概念及特点</w:t>
      </w:r>
    </w:p>
    <w:p w14:paraId="7E5D51DB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变动成本计算法下产品成本、期间成本的内容构成与特点</w:t>
      </w:r>
    </w:p>
    <w:p w14:paraId="5D1A335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变动成本计算法下分期损益的计算程序以及分期损益计算</w:t>
      </w:r>
    </w:p>
    <w:p w14:paraId="5131A43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相关范围、固定成本的进一步划分</w:t>
      </w:r>
    </w:p>
    <w:p w14:paraId="7876CB77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变动成本法的涵义、以及变动成本计算法与完全成本计算法的区别</w:t>
      </w:r>
    </w:p>
    <w:p w14:paraId="0068987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运用高低点法、散布图法和回归分析法进行成本分解及建立成本性态模型</w:t>
      </w:r>
    </w:p>
    <w:p w14:paraId="47AE711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多个成本动因下的成本性态分析的发展与变化趋势</w:t>
      </w:r>
    </w:p>
    <w:p w14:paraId="0A3540F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Style w:val="a8"/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变动成本计算法的优缺点。</w:t>
      </w:r>
    </w:p>
    <w:p w14:paraId="380B3CFF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第四章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经营决策分析</w:t>
      </w:r>
    </w:p>
    <w:p w14:paraId="222FCB9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1EA34318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经营决策分析的基本⽅法、盈亏平衡分析、经营决策中的成本概念运用、经营决策中的生产组织与外包、经营决策中的产能利用与存货</w:t>
      </w:r>
    </w:p>
    <w:p w14:paraId="7851A943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6FD75C5C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盈亏平衡点的概念、盈亏平衡分析的概念</w:t>
      </w:r>
    </w:p>
    <w:p w14:paraId="33FF1A5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单一产品和多种产品盈亏平衡点的计算分析方法</w:t>
      </w:r>
    </w:p>
    <w:p w14:paraId="5CA2BBF2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安全边际、安全边际率、保本作业率、销售利润率等相关指标的计算</w:t>
      </w:r>
    </w:p>
    <w:p w14:paraId="6A11172A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决策分析中区分相关成本与非相关成本的一般原则</w:t>
      </w:r>
    </w:p>
    <w:p w14:paraId="2CB2A7C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熟练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运用相关决策分析方法解决产品定价、产品生产中诸多问题的决策分析</w:t>
      </w:r>
    </w:p>
    <w:p w14:paraId="5CDC8C36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决策分析中常用的差别成本、边际成本、机会成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本、沉落成本、特定成本、共同成本等成本信息</w:t>
      </w:r>
    </w:p>
    <w:p w14:paraId="13FBCF8F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决策分析中相关成本与非相关成本的划分及其对决策分析的重要性</w:t>
      </w:r>
    </w:p>
    <w:p w14:paraId="3E564F8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决策成本的概念、以及决策成本信息在决策分析中的作用</w:t>
      </w:r>
    </w:p>
    <w:p w14:paraId="1036D3A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基本因素变动对盈亏平衡点的影响</w:t>
      </w:r>
    </w:p>
    <w:p w14:paraId="22636C91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盈亏平衡分析的基本假定和意义，以及不确定条件下或非线性条件下盈亏平衡分析的方法</w:t>
      </w:r>
    </w:p>
    <w:p w14:paraId="5B48AC8C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</w:rPr>
      </w:pP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第五章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spacing w:val="8"/>
          <w:sz w:val="21"/>
          <w:szCs w:val="21"/>
        </w:rPr>
        <w:t>全面预算管理</w:t>
      </w:r>
      <w:r>
        <w:rPr>
          <w:rStyle w:val="a8"/>
          <w:rFonts w:ascii="Microsoft YaHei UI" w:eastAsia="Microsoft YaHei UI" w:hAnsi="Microsoft YaHei UI" w:hint="eastAsia"/>
          <w:spacing w:val="8"/>
        </w:rPr>
        <w:t> </w:t>
      </w:r>
    </w:p>
    <w:p w14:paraId="0E1067B4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26672CFF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lastRenderedPageBreak/>
        <w:t>全面预算概述、全⾯预算的类型与编制⽅法、营业预算的编制、财务预算的编制、预算实施与管理、预算结果的考评与反馈</w:t>
      </w:r>
    </w:p>
    <w:p w14:paraId="5F360CD9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3797D559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全面预算、弹性预算、零基预算的概念与作用</w:t>
      </w:r>
    </w:p>
    <w:p w14:paraId="56E07C1D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掌握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全面预算的各种编制方法</w:t>
      </w:r>
    </w:p>
    <w:p w14:paraId="7D065AFE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全面预算包含的内容、各种预算之间的关系</w:t>
      </w:r>
      <w:r>
        <w:rPr>
          <w:rFonts w:ascii="Microsoft YaHei UI" w:eastAsia="Microsoft YaHei UI" w:hAnsi="Microsoft YaHei UI" w:hint="eastAsia"/>
          <w:spacing w:val="8"/>
        </w:rPr>
        <w:br/>
      </w: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滚动预算、概率预算的概念与编制方法</w:t>
      </w:r>
    </w:p>
    <w:p w14:paraId="77DDC924" w14:textId="77777777" w:rsidR="00751F5A" w:rsidRDefault="00E41104">
      <w:pPr>
        <w:pStyle w:val="a7"/>
        <w:shd w:val="clear" w:color="auto" w:fill="FFFFFF"/>
        <w:adjustRightInd w:val="0"/>
        <w:snapToGrid w:val="0"/>
        <w:spacing w:before="0" w:beforeAutospacing="0" w:after="0" w:afterAutospacing="0"/>
        <w:jc w:val="both"/>
        <w:rPr>
          <w:rFonts w:ascii="Microsoft YaHei UI" w:eastAsia="Microsoft YaHei UI" w:hAnsi="Microsoft YaHei UI"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了解</w:t>
      </w:r>
      <w:r>
        <w:rPr>
          <w:rFonts w:ascii="Microsoft YaHei UI" w:eastAsia="Microsoft YaHei UI" w:hAnsi="Microsoft YaHei UI" w:hint="eastAsia"/>
          <w:spacing w:val="8"/>
          <w:sz w:val="21"/>
          <w:szCs w:val="21"/>
        </w:rPr>
        <w:t>预算结果的考评与反馈程序及其作用</w:t>
      </w:r>
    </w:p>
    <w:p w14:paraId="127A687C" w14:textId="77777777" w:rsidR="00751F5A" w:rsidRDefault="00E41104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bCs w:val="0"/>
          <w:sz w:val="21"/>
          <w:szCs w:val="21"/>
        </w:rPr>
      </w:pPr>
      <w:r>
        <w:rPr>
          <w:rStyle w:val="a8"/>
          <w:rFonts w:ascii="Microsoft YaHei UI" w:eastAsia="Microsoft YaHei UI" w:hAnsi="Microsoft YaHei UI" w:hint="eastAsia"/>
          <w:bCs w:val="0"/>
          <w:spacing w:val="8"/>
          <w:sz w:val="21"/>
          <w:szCs w:val="21"/>
        </w:rPr>
        <w:t>第六章</w:t>
      </w:r>
      <w:r>
        <w:rPr>
          <w:rStyle w:val="a8"/>
          <w:rFonts w:ascii="Microsoft YaHei UI" w:eastAsia="Microsoft YaHei UI" w:hAnsi="Microsoft YaHei UI" w:hint="eastAsia"/>
          <w:bCs w:val="0"/>
          <w:spacing w:val="8"/>
          <w:sz w:val="21"/>
          <w:szCs w:val="21"/>
        </w:rPr>
        <w:t xml:space="preserve"> </w:t>
      </w:r>
      <w:r>
        <w:rPr>
          <w:rStyle w:val="a8"/>
          <w:rFonts w:ascii="Microsoft YaHei UI" w:eastAsia="Microsoft YaHei UI" w:hAnsi="Microsoft YaHei UI" w:hint="eastAsia"/>
          <w:bCs w:val="0"/>
          <w:spacing w:val="8"/>
          <w:sz w:val="21"/>
          <w:szCs w:val="21"/>
        </w:rPr>
        <w:t>责任会计</w:t>
      </w:r>
    </w:p>
    <w:p w14:paraId="7D072101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考试内容：</w:t>
      </w:r>
    </w:p>
    <w:p w14:paraId="158A19E7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责任会计概述、责任中心的类型与基本原则、责任会计的职能、责任会计体系与部门绩效考核</w:t>
      </w:r>
    </w:p>
    <w:p w14:paraId="6E10742E" w14:textId="77777777" w:rsidR="00751F5A" w:rsidRDefault="00E41104">
      <w:pPr>
        <w:pStyle w:val="a7"/>
        <w:shd w:val="clear" w:color="auto" w:fill="FFFFFF"/>
        <w:spacing w:before="0" w:beforeAutospacing="0" w:after="0" w:afterAutospacing="0" w:line="300" w:lineRule="auto"/>
        <w:jc w:val="both"/>
        <w:rPr>
          <w:rFonts w:ascii="Microsoft YaHei UI" w:eastAsia="Microsoft YaHei UI" w:hAnsi="Microsoft YaHei UI"/>
          <w:b/>
          <w:spacing w:val="8"/>
          <w:sz w:val="21"/>
          <w:szCs w:val="21"/>
        </w:rPr>
      </w:pPr>
      <w:r>
        <w:rPr>
          <w:rFonts w:ascii="Microsoft YaHei UI" w:eastAsia="Microsoft YaHei UI" w:hAnsi="Microsoft YaHei UI" w:hint="eastAsia"/>
          <w:b/>
          <w:spacing w:val="8"/>
          <w:sz w:val="21"/>
          <w:szCs w:val="21"/>
        </w:rPr>
        <w:t>考试要求：</w:t>
      </w:r>
    </w:p>
    <w:p w14:paraId="0845EA92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掌握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责任中心的含义及其分类</w:t>
      </w:r>
    </w:p>
    <w:p w14:paraId="7D449F34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掌握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成本中心、利润中心、投资中心绩效考评的指标依据与方法</w:t>
      </w:r>
    </w:p>
    <w:p w14:paraId="4C9C889F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责任会计的含义、基本内容、核算原则</w:t>
      </w:r>
    </w:p>
    <w:p w14:paraId="2C3229FC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责任成本的概念及其与产品成本的区别</w:t>
      </w:r>
    </w:p>
    <w:p w14:paraId="1B816371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可控成本的概念及其特征</w:t>
      </w:r>
    </w:p>
    <w:p w14:paraId="4DD0B70C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不同绩效考核指标的特点</w:t>
      </w:r>
    </w:p>
    <w:p w14:paraId="5B0B2EC2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r>
        <w:rPr>
          <w:rFonts w:ascii="Microsoft YaHei UI" w:eastAsia="Microsoft YaHei UI" w:hAnsi="Microsoft YaHei UI" w:cs="宋体" w:hint="eastAsia"/>
          <w:b/>
          <w:spacing w:val="8"/>
          <w:kern w:val="0"/>
          <w:szCs w:val="21"/>
        </w:rPr>
        <w:t>了解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内部转移价格的含义与作用、制订内部转移价格的基本原则</w:t>
      </w:r>
    </w:p>
    <w:p w14:paraId="570DBBCA" w14:textId="77777777" w:rsidR="00751F5A" w:rsidRDefault="00751F5A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</w:p>
    <w:p w14:paraId="44EA2320" w14:textId="77777777" w:rsidR="00751F5A" w:rsidRDefault="00E41104">
      <w:pPr>
        <w:spacing w:line="300" w:lineRule="auto"/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>参考教材</w:t>
      </w:r>
      <w:r>
        <w:rPr>
          <w:rStyle w:val="a8"/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  <w:t>：</w:t>
      </w:r>
      <w:r>
        <w:rPr>
          <w:rStyle w:val="a8"/>
          <w:rFonts w:ascii="Microsoft YaHei UI" w:eastAsia="Microsoft YaHei UI" w:hAnsi="Microsoft YaHei UI" w:cs="宋体"/>
          <w:spacing w:val="8"/>
          <w:kern w:val="0"/>
          <w:sz w:val="24"/>
          <w:szCs w:val="24"/>
        </w:rPr>
        <w:t xml:space="preserve"> </w:t>
      </w:r>
    </w:p>
    <w:p w14:paraId="65526E4C" w14:textId="77777777" w:rsidR="00751F5A" w:rsidRDefault="00E41104">
      <w:pPr>
        <w:adjustRightInd w:val="0"/>
        <w:snapToGrid w:val="0"/>
        <w:rPr>
          <w:rFonts w:ascii="Microsoft YaHei UI" w:eastAsia="Microsoft YaHei UI" w:hAnsi="Microsoft YaHei UI" w:cs="宋体"/>
          <w:spacing w:val="8"/>
          <w:kern w:val="0"/>
          <w:szCs w:val="21"/>
        </w:rPr>
      </w:pPr>
      <w:bookmarkStart w:id="2" w:name="_Hlk173963237"/>
      <w:r>
        <w:rPr>
          <w:rFonts w:ascii="Microsoft YaHei UI" w:eastAsia="Microsoft YaHei UI" w:hAnsi="Microsoft YaHei UI" w:cs="宋体"/>
          <w:spacing w:val="8"/>
          <w:kern w:val="0"/>
          <w:szCs w:val="21"/>
        </w:rPr>
        <w:t>《会计》《财务成本管理》中国注册会计师</w:t>
      </w:r>
      <w:r>
        <w:rPr>
          <w:rFonts w:ascii="Microsoft YaHei UI" w:eastAsia="Microsoft YaHei UI" w:hAnsi="Microsoft YaHei UI" w:cs="宋体"/>
          <w:spacing w:val="8"/>
          <w:kern w:val="0"/>
          <w:szCs w:val="21"/>
        </w:rPr>
        <w:t xml:space="preserve"> CPA</w:t>
      </w:r>
      <w:r>
        <w:rPr>
          <w:rFonts w:ascii="Microsoft YaHei UI" w:eastAsia="Microsoft YaHei UI" w:hAnsi="Microsoft YaHei UI" w:cs="宋体"/>
          <w:spacing w:val="8"/>
          <w:kern w:val="0"/>
          <w:szCs w:val="21"/>
        </w:rPr>
        <w:t>考试用书，中国财政经济出版社，</w:t>
      </w:r>
      <w:r>
        <w:rPr>
          <w:rFonts w:ascii="Microsoft YaHei UI" w:eastAsia="Microsoft YaHei UI" w:hAnsi="Microsoft YaHei UI" w:cs="宋体" w:hint="eastAsia"/>
          <w:spacing w:val="8"/>
          <w:kern w:val="0"/>
          <w:szCs w:val="21"/>
        </w:rPr>
        <w:t>每年</w:t>
      </w:r>
      <w:r>
        <w:rPr>
          <w:rFonts w:ascii="Microsoft YaHei UI" w:eastAsia="Microsoft YaHei UI" w:hAnsi="Microsoft YaHei UI" w:cs="宋体"/>
          <w:spacing w:val="8"/>
          <w:kern w:val="0"/>
          <w:szCs w:val="21"/>
        </w:rPr>
        <w:t>最新版。</w:t>
      </w:r>
      <w:bookmarkEnd w:id="2"/>
    </w:p>
    <w:sectPr w:rsidR="00751F5A">
      <w:pgSz w:w="11906" w:h="16838"/>
      <w:pgMar w:top="1440" w:right="1644" w:bottom="1361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5MmIxNjAyM2JiZWI4MWM3ODllYzJkMGM0YjdhOGUifQ=="/>
  </w:docVars>
  <w:rsids>
    <w:rsidRoot w:val="00431688"/>
    <w:rsid w:val="0001537B"/>
    <w:rsid w:val="0002063C"/>
    <w:rsid w:val="00025553"/>
    <w:rsid w:val="00030B3D"/>
    <w:rsid w:val="000A4601"/>
    <w:rsid w:val="001171DF"/>
    <w:rsid w:val="002F5FDE"/>
    <w:rsid w:val="00385A9A"/>
    <w:rsid w:val="003B4C06"/>
    <w:rsid w:val="00431688"/>
    <w:rsid w:val="00432C27"/>
    <w:rsid w:val="0047078C"/>
    <w:rsid w:val="004771E6"/>
    <w:rsid w:val="004B4FD5"/>
    <w:rsid w:val="004C0248"/>
    <w:rsid w:val="004D5259"/>
    <w:rsid w:val="00544AB0"/>
    <w:rsid w:val="00575E94"/>
    <w:rsid w:val="006E6A10"/>
    <w:rsid w:val="00712C12"/>
    <w:rsid w:val="00751F5A"/>
    <w:rsid w:val="007C570F"/>
    <w:rsid w:val="00834052"/>
    <w:rsid w:val="00891B3F"/>
    <w:rsid w:val="008D3E6D"/>
    <w:rsid w:val="00901869"/>
    <w:rsid w:val="009019C4"/>
    <w:rsid w:val="00920D24"/>
    <w:rsid w:val="0094150B"/>
    <w:rsid w:val="0098152A"/>
    <w:rsid w:val="009D1878"/>
    <w:rsid w:val="00AD21EB"/>
    <w:rsid w:val="00B17C05"/>
    <w:rsid w:val="00B82F3B"/>
    <w:rsid w:val="00BC13F4"/>
    <w:rsid w:val="00C34AD6"/>
    <w:rsid w:val="00C64B69"/>
    <w:rsid w:val="00CE5A94"/>
    <w:rsid w:val="00D041C4"/>
    <w:rsid w:val="00DC342B"/>
    <w:rsid w:val="00DD1FDA"/>
    <w:rsid w:val="00E41104"/>
    <w:rsid w:val="00E52919"/>
    <w:rsid w:val="00F62E7F"/>
    <w:rsid w:val="00F765F2"/>
    <w:rsid w:val="00F80661"/>
    <w:rsid w:val="00FA45C9"/>
    <w:rsid w:val="00FA5301"/>
    <w:rsid w:val="1AF8344E"/>
    <w:rsid w:val="48D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41FAE"/>
  <w15:docId w15:val="{04229F3B-D684-4F85-8A03-1BC622F6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614</Words>
  <Characters>3502</Characters>
  <Application>Microsoft Office Word</Application>
  <DocSecurity>0</DocSecurity>
  <Lines>29</Lines>
  <Paragraphs>8</Paragraphs>
  <ScaleCrop>false</ScaleCrop>
  <Company>Microsoft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13</cp:revision>
  <dcterms:created xsi:type="dcterms:W3CDTF">2024-08-07T01:33:00Z</dcterms:created>
  <dcterms:modified xsi:type="dcterms:W3CDTF">2025-07-21T07:58:00Z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D0D7E119DF2940859AC4DCFBA97CB056_12</vt:lpwstr>
  </property>
</Properties>
</file>